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560" w:lineRule="exact"/>
        <w:jc w:val="center"/>
        <w:rPr>
          <w:rFonts w:hint="eastAsia" w:ascii="方正小标宋简体" w:hAnsi="方正小标宋简体" w:eastAsia="方正小标宋简体" w:cs="方正小标宋简体"/>
          <w:color w:val="000000" w:themeColor="text1"/>
          <w:kern w:val="0"/>
          <w:sz w:val="44"/>
          <w:szCs w:val="44"/>
        </w:rPr>
      </w:pPr>
      <w:r>
        <w:rPr>
          <w:rFonts w:hint="eastAsia" w:ascii="方正小标宋简体" w:hAnsi="方正小标宋简体" w:eastAsia="方正小标宋简体" w:cs="方正小标宋简体"/>
          <w:color w:val="000000" w:themeColor="text1"/>
          <w:kern w:val="0"/>
          <w:sz w:val="44"/>
          <w:szCs w:val="44"/>
        </w:rPr>
        <w:t>教育部关于建立健全高</w:t>
      </w:r>
      <w:bookmarkStart w:id="0" w:name="_GoBack"/>
      <w:bookmarkEnd w:id="0"/>
      <w:r>
        <w:rPr>
          <w:rFonts w:hint="eastAsia" w:ascii="方正小标宋简体" w:hAnsi="方正小标宋简体" w:eastAsia="方正小标宋简体" w:cs="方正小标宋简体"/>
          <w:color w:val="000000" w:themeColor="text1"/>
          <w:kern w:val="0"/>
          <w:sz w:val="44"/>
          <w:szCs w:val="44"/>
        </w:rPr>
        <w:t>校师德建设长效机制的意见</w:t>
      </w:r>
    </w:p>
    <w:p>
      <w:pPr>
        <w:pStyle w:val="5"/>
        <w:keepNext w:val="0"/>
        <w:keepLines w:val="0"/>
        <w:widowControl/>
        <w:suppressLineNumbers w:val="0"/>
        <w:wordWrap w:val="0"/>
        <w:snapToGrid w:val="0"/>
        <w:spacing w:before="0" w:beforeAutospacing="0" w:after="0" w:afterAutospacing="0" w:line="600" w:lineRule="atLeast"/>
        <w:ind w:left="0" w:right="0"/>
        <w:jc w:val="center"/>
        <w:rPr>
          <w:rFonts w:hint="eastAsia" w:ascii="仿宋_GB2312" w:hAnsi="微软雅黑" w:eastAsia="仿宋_GB2312" w:cs="宋体"/>
          <w:color w:val="000000" w:themeColor="text1"/>
          <w:kern w:val="0"/>
          <w:sz w:val="32"/>
          <w:szCs w:val="32"/>
        </w:rPr>
      </w:pPr>
      <w:r>
        <w:rPr>
          <w:rFonts w:ascii="仿宋_GB2312" w:hAnsi="Arial" w:eastAsia="仿宋_GB2312" w:cs="仿宋_GB2312"/>
          <w:color w:val="000000"/>
          <w:sz w:val="32"/>
          <w:szCs w:val="32"/>
        </w:rPr>
        <w:t>教</w:t>
      </w:r>
      <w:r>
        <w:rPr>
          <w:rFonts w:hint="eastAsia" w:ascii="仿宋_GB2312" w:hAnsi="Arial" w:eastAsia="仿宋_GB2312" w:cs="仿宋_GB2312"/>
          <w:color w:val="000000"/>
          <w:sz w:val="32"/>
          <w:szCs w:val="32"/>
        </w:rPr>
        <w:t>师〔201</w:t>
      </w:r>
      <w:r>
        <w:rPr>
          <w:rFonts w:hint="eastAsia" w:ascii="仿宋_GB2312" w:hAnsi="Arial" w:eastAsia="仿宋_GB2312" w:cs="仿宋_GB2312"/>
          <w:color w:val="000000"/>
          <w:sz w:val="32"/>
          <w:szCs w:val="32"/>
          <w:lang w:val="en-US" w:eastAsia="zh-CN"/>
        </w:rPr>
        <w:t>4</w:t>
      </w:r>
      <w:r>
        <w:rPr>
          <w:rFonts w:hint="eastAsia" w:ascii="仿宋_GB2312" w:hAnsi="Arial" w:eastAsia="仿宋_GB2312" w:cs="仿宋_GB2312"/>
          <w:color w:val="000000"/>
          <w:sz w:val="32"/>
          <w:szCs w:val="32"/>
        </w:rPr>
        <w:t>〕</w:t>
      </w:r>
      <w:r>
        <w:rPr>
          <w:rFonts w:hint="eastAsia" w:ascii="仿宋_GB2312" w:hAnsi="Arial" w:eastAsia="仿宋_GB2312" w:cs="仿宋_GB2312"/>
          <w:color w:val="000000"/>
          <w:sz w:val="32"/>
          <w:szCs w:val="32"/>
          <w:lang w:val="en-US" w:eastAsia="zh-CN"/>
        </w:rPr>
        <w:t>10</w:t>
      </w:r>
      <w:r>
        <w:rPr>
          <w:rFonts w:hint="eastAsia" w:ascii="仿宋_GB2312" w:hAnsi="Arial" w:eastAsia="仿宋_GB2312" w:cs="仿宋_GB2312"/>
          <w:color w:val="000000"/>
          <w:sz w:val="32"/>
          <w:szCs w:val="32"/>
        </w:rPr>
        <w:t>号</w:t>
      </w:r>
    </w:p>
    <w:p>
      <w:pPr>
        <w:widowControl/>
        <w:spacing w:before="100" w:beforeAutospacing="1" w:after="100" w:afterAutospacing="1" w:line="560" w:lineRule="exact"/>
        <w:jc w:val="left"/>
        <w:rPr>
          <w:rFonts w:hint="eastAsia" w:ascii="仿宋_GB2312" w:hAnsi="微软雅黑" w:eastAsia="仿宋_GB2312" w:cs="宋体"/>
          <w:color w:val="000000" w:themeColor="text1"/>
          <w:kern w:val="0"/>
          <w:sz w:val="32"/>
          <w:szCs w:val="32"/>
        </w:rPr>
      </w:pPr>
      <w:r>
        <w:rPr>
          <w:rFonts w:hint="eastAsia" w:ascii="仿宋_GB2312" w:hAnsi="微软雅黑" w:eastAsia="仿宋_GB2312" w:cs="宋体"/>
          <w:color w:val="000000" w:themeColor="text1"/>
          <w:kern w:val="0"/>
          <w:sz w:val="32"/>
          <w:szCs w:val="32"/>
        </w:rPr>
        <w:t>各省、自治区、直辖市教育厅（教委），有关部门（单位）教育司（局），新疆生产建设兵团教育局，部属各高等学校：</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为深入贯彻习近平总书记2014年9月9日在北京师范大学师生代表座谈会上的重要讲话精神，积极引导广大高校教师做有理想信念、有道德情操、有扎实学识、有仁爱之心的党和人民满意的好老师，大力加强和改进师德建设，努力培养造就一支师德高尚、业务精湛、结构合理、充满活力的高素质专业化高校教师队伍，现就建立健全高校师德建设长效机制提出如下意见：</w:t>
      </w:r>
      <w:r>
        <w:rPr>
          <w:rFonts w:hint="eastAsia" w:ascii="仿宋_GB2312" w:hAnsi="微软雅黑" w:eastAsia="仿宋_GB2312" w:cs="宋体"/>
          <w:color w:val="000000" w:themeColor="text1"/>
          <w:kern w:val="0"/>
          <w:sz w:val="32"/>
          <w:szCs w:val="32"/>
        </w:rPr>
        <w:br w:type="textWrapping"/>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b/>
          <w:bCs/>
          <w:color w:val="000000" w:themeColor="text1"/>
          <w:kern w:val="0"/>
          <w:sz w:val="32"/>
          <w:szCs w:val="32"/>
        </w:rPr>
        <w:t>一、深刻认识新时期建立健全高校师德建设长效机制的重要性和紧迫性</w:t>
      </w:r>
      <w:r>
        <w:rPr>
          <w:rFonts w:hint="eastAsia" w:ascii="仿宋_GB2312" w:hAnsi="微软雅黑" w:eastAsia="仿宋_GB2312" w:cs="宋体"/>
          <w:b/>
          <w:bCs/>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高校教师的思想政治素质和道德情操直接影响着青年学生世界观、人生观、价值观的养成，决定着人才培养的质量，关系着国家和民族的未来。加强和改进高校师德建设工作，对于全面提高高等教育质量、推进高等教育事业科学发展，培养中国特色社会主义事业的建设者和接班人、实现中华民族伟大复兴的中国梦，具有重大而深远的意义。</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长期以来，广大高校教师忠诚党的教育事业，呕心沥血、默默奉献，潜心治学、教书育人，敢于担当、锐意创新，为高等教育改革发展做出了巨大贡献，赢得了全社会广泛赞誉和普遍尊重。但是，当前社会变革转型时期所带来的负面现象也对教师产生影响。少数高校教师理想信念模糊，育人意识淡薄，教学敷衍，学风浮躁，甚至学术不端，言行失范、道德败坏等，严重损害了高校教师的社会形象和职业声誉。一些地方和高校对新时期师德建设重视不够，工作方法陈旧、实效性不强。各地各高校要充分认识新时期加强和改进高校师德建设工作的重要性和紧迫性，建立健全高校师德建设长效机制，从根本上遏制和杜绝高校师德失范现象的发生，切实提高高校师德建设水平，全面提升高校教师师德素养。</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b/>
          <w:bCs/>
          <w:color w:val="000000" w:themeColor="text1"/>
          <w:kern w:val="0"/>
          <w:sz w:val="32"/>
          <w:szCs w:val="32"/>
        </w:rPr>
        <w:t>二、建立健全高校师德建设长效机制的原则和要求</w:t>
      </w:r>
      <w:r>
        <w:rPr>
          <w:rFonts w:hint="eastAsia" w:ascii="仿宋_GB2312" w:hAnsi="微软雅黑" w:eastAsia="仿宋_GB2312" w:cs="宋体"/>
          <w:b/>
          <w:bCs/>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建立健全高校师德建设长效机制的基本原则：坚持价值引领，以社会主义核心价值观为高校教师崇德修身的基本遵循，促进高校教师带头培育和践行社会主义核心价值观。坚持师德为上，以立德树人为出发点和立足点，找准与高校教师思想的共鸣点，增强高校师德建设的针对性和贴近性，培育高校教师高尚道德情操。坚持以人为本，关注高校教师发展诉求和价值愿望，落实高校教师主体地位，激发高校教师的责任感使命感。坚持改进创新，不断探索新时期高校师德建设的规律特点，善于运用高校教师喜闻乐见的方式方法，增强高校师德建设的实际效果。</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建立健全高校师德建设长效机制的工作要求：充分尊重高校教师主体地位，注重宣传教育、示范引领、实践养成相统一，政策保障、制度规范、法律约束相衔接，建立教育、宣传、考核、监督与奖惩相结合的高校师德建设工作机制，引导广大高校教师自尊自律自强，做学生敬仰爱戴的品行之师、学问之师，做社会主义道德的示范者、诚信风尚的引领者、公平正义的维护者。</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b/>
          <w:bCs/>
          <w:color w:val="000000" w:themeColor="text1"/>
          <w:kern w:val="0"/>
          <w:sz w:val="32"/>
          <w:szCs w:val="32"/>
        </w:rPr>
        <w:t>三、建立健全高校师德建设长效机制的主要举措</w:t>
      </w:r>
      <w:r>
        <w:rPr>
          <w:rFonts w:hint="eastAsia" w:ascii="仿宋_GB2312" w:hAnsi="微软雅黑" w:eastAsia="仿宋_GB2312" w:cs="宋体"/>
          <w:b/>
          <w:bCs/>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创新师德教育，引导教师树立崇高理想。将师德教育摆在高校教师培养首位，贯穿高校教师职业生涯全过程。青年教师入职培训必须开设师德教育专题。要将师德教育作为优秀教师团队培养，骨干教师、学科带头人和学科领军人物培育的重要内容。重点加强社会主义核心价值观教育，重视理想信念教育、法制教育和心理健康教育。创新教育理念、模式和手段。建立师德建设专家库，把高校师德重大典型、全国教书育人楷模、一线优秀教师等请进课堂，用他们的感人事迹诠释师德内涵。举行新教师入职宣誓仪式和老教师荣休仪式。结合教学科研、社会服务活动开展师德教育，鼓励广大高校教师参与调查研究、学习考察、挂职锻炼、志愿服务等实践活动，切实增强师德教育效果。</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加强师德宣传，培育重德养德良好风尚。把握正确舆论导向，坚持师德宣传制度化、常态化，将师德宣传作为高校宣传思想工作的重要组成部分。系统宣讲《教育法》《高等教育法》《教师法》和教育规划纲要等法规文件中有关师德的要求，宣传普及《高校教师职业道德规范》。把培育良好师德师风作为大学校园文化建设的核心内容，挖掘和提炼名家名师为人为学为师的大爱师魂，生动展现当代高校教师的精神风貌。充分利用教师节等重大节庆日、纪念日契机，通过电视、广播、报纸、网站及微博、微信、微电影等新媒体形式，集中宣传高校优秀教师的典型事迹，努力营造崇尚师德、争创师德典型的良好舆论环境和社会氛围。对于高校师德建设中出现的热点难点问题，要及时应对并有效引导。</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健全师德考核，促进教师提高自身修养。将师德考核作为高校教师考核的重要内容。师德考核要充分尊重教师主体地位，坚持客观公正、公平公开原则，采取个人自评、学生测评、同事互评、单位考评等多种形式进行。考核结果应通知教师本人，考核优秀的应当予以公示表彰，确定考核不合格者应当向教师说明理由，听取教师本人意见。考核结果存入教师档案。师德考核不合格者年度考核应评定为不合格，并在教师职务（职称）评审、岗位聘用、评优奖励等环节实行一票否决。高校结合实际制定师德考核的具体实施办法。</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强化师德监督，有效防止师德失范行为。将师德建设作为高校教育质量督导评估重要内容。高校要建立健全师德建设年度评议、师德状况调研、师德重大问题报告和师德舆情快速反应制度，及时研究加强和改进师德建设的政策措施。构建高校、教师、学生、家长和社会多方参与的师德监督体系。健全完善学生评教机制。充分发挥教职工代表大会、工会、学术委员会、教授委员会等在师德建设中的作用。高校及主管部门建立师德投诉举报平台，及时掌握师德信息动态，及时纠正不良倾向和问题。对师德问题做到有诉必查，有查必果，有果必复。</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注重师德激励，引导教师提升精神境界。完善师德表彰奖励制度，将师德表现作为评奖评优的首要条件。在同等条件下，师德表现突出的，在教师职务（职称）晋升和岗位聘用，研究生导师遴选，骨干教师、学科带头人和学科领军人物选培，各类高层次人才及资深教授、荣誉教授等评选中优先考虑。</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严格师德惩处，发挥制度规范约束作用。建立健全高校教师违反师德行为的惩处机制。高校教师不得有下列情形：损害国家利益，损害学生和学校合法权益的行为；在教育教学活动中有违背党的路线方针政策的言行；在科研工作中弄虚作假、抄袭剽窃、篡改侵吞他人学术成果、违规使用科研经费以及滥用学术资源和学术影响；影响正常教育教学工作的兼职兼薪行为；在招生、考试、学生推优、保研等工作中徇私舞弊；索要或收受学生及家长的礼品、礼金、有价证券、支付凭证等财物；对学生实施性骚扰或与学生发生不正当关系；其他违反高校教师职业道德的行为。有上述情形的，依法依规分别给予警告、记过、降低专业技术职务等级、撤销专业技术职务或者行政职务、解除聘用合同或者开除。对严重违法违纪的要及时移交相关部门。建立问责机制，对教师严重违反师德行为监管不力、拒不处分、拖延处分或推诿隐瞒，造成不良影响或严重后果的，要追究高校主要负责人的责任。</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b/>
          <w:bCs/>
          <w:i w:val="0"/>
          <w:iCs w:val="0"/>
          <w:color w:val="000000" w:themeColor="text1"/>
          <w:kern w:val="0"/>
          <w:sz w:val="32"/>
          <w:szCs w:val="32"/>
        </w:rPr>
        <w:t>四、充分激发高校教师加强师德建设的自觉性</w:t>
      </w:r>
      <w:r>
        <w:rPr>
          <w:rFonts w:hint="eastAsia" w:ascii="仿宋_GB2312" w:hAnsi="微软雅黑" w:eastAsia="仿宋_GB2312" w:cs="宋体"/>
          <w:b/>
          <w:bCs/>
          <w:i w:val="0"/>
          <w:iCs w:val="0"/>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广大高校教师要充分认识自己所承担的庄严而神圣的使命，发扬主人翁精神，自觉捍卫职业尊严，珍惜教师声誉，提升师德境界。要将师德修养自觉纳入职业生涯规划，明确师德发展目标。要通过自主学习，自我改进，将师德规范转化为稳定的内在信念和行为品质。要将师德规范积极主动融入教育教学、科学研究和服务社会的实践中，提高师德践行能力。要弘扬重内省、重慎独的优良传统，在细微处见师德，在日常中守师德，养成师德自律习惯。</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高校要健全教师主体权益保障机制，根据《教育法》《高等教育法》《教师法》等法律法规和高等学校章程，明确并落实教师在高校办学中的主体地位。完善教师参与治校治学机制，在干部选拔任用、专业技术职务评聘、学术评价和各种评优选拔活动中，充分保障教师的知情权、参与权、表达权和监督权。创设公平正义、风清气正的环境条件。充分尊重教师的专业自主权，保障教师依法行使学术权利和学业评定权利。保护教师正当的申辩、申诉权利，依法建立教师权益保护机制，维护教师合法权益。健全教师发展制度，构建完整的职业发展体系，鼓励支持教师参加培训、开展学术交流合作。</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b/>
          <w:bCs/>
          <w:color w:val="000000" w:themeColor="text1"/>
          <w:kern w:val="0"/>
          <w:sz w:val="32"/>
          <w:szCs w:val="32"/>
        </w:rPr>
        <w:t xml:space="preserve"> </w:t>
      </w:r>
      <w:r>
        <w:rPr>
          <w:rFonts w:hint="eastAsia" w:ascii="仿宋_GB2312" w:hAnsi="微软雅黑" w:eastAsia="仿宋_GB2312" w:cs="宋体"/>
          <w:b/>
          <w:bCs/>
          <w:color w:val="000000" w:themeColor="text1"/>
          <w:kern w:val="0"/>
          <w:sz w:val="32"/>
          <w:szCs w:val="32"/>
          <w:lang w:val="en-US" w:eastAsia="zh-CN"/>
        </w:rPr>
        <w:t xml:space="preserve"> </w:t>
      </w:r>
      <w:r>
        <w:rPr>
          <w:rFonts w:hint="eastAsia" w:ascii="仿宋_GB2312" w:hAnsi="微软雅黑" w:eastAsia="仿宋_GB2312" w:cs="宋体"/>
          <w:b/>
          <w:bCs/>
          <w:color w:val="000000" w:themeColor="text1"/>
          <w:kern w:val="0"/>
          <w:sz w:val="32"/>
          <w:szCs w:val="32"/>
        </w:rPr>
        <w:t>五、切实明确高校师德建设工作的责任主体</w:t>
      </w:r>
      <w:r>
        <w:rPr>
          <w:rFonts w:hint="eastAsia" w:ascii="仿宋_GB2312" w:hAnsi="微软雅黑" w:eastAsia="仿宋_GB2312" w:cs="宋体"/>
          <w:b/>
          <w:bCs/>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高校是师德建设的责任主体，主要负责人是师德建设的第一责任人。高校要明确师德建设的牵头部门，成立组织、宣传、纪检监察、人事、教务、科研、工会、学术委员会等相关责任部门和组织协同配合的师德建设委员会；建立和完善党委统一领导、党政齐抓共管、院系具体落实、教师自我约束的领导体制和工作机制，形成师德建设合力。要建立一岗双责的责任追究机制。要加大师德建设经费投入力度，为师德建设提供坚实保障。</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w:t>
      </w:r>
      <w:r>
        <w:rPr>
          <w:rFonts w:hint="eastAsia" w:ascii="仿宋_GB2312" w:hAnsi="微软雅黑" w:eastAsia="仿宋_GB2312" w:cs="宋体"/>
          <w:color w:val="000000" w:themeColor="text1"/>
          <w:kern w:val="0"/>
          <w:sz w:val="32"/>
          <w:szCs w:val="32"/>
          <w:lang w:val="en-US" w:eastAsia="zh-CN"/>
        </w:rPr>
        <w:t xml:space="preserve"> </w:t>
      </w:r>
      <w:r>
        <w:rPr>
          <w:rFonts w:hint="eastAsia" w:ascii="仿宋_GB2312" w:hAnsi="微软雅黑" w:eastAsia="仿宋_GB2312" w:cs="宋体"/>
          <w:color w:val="000000" w:themeColor="text1"/>
          <w:kern w:val="0"/>
          <w:sz w:val="32"/>
          <w:szCs w:val="32"/>
        </w:rPr>
        <w:t>高校主管部门要把师德建设摆在教师队伍建设的首位，主要领导亲自负责，并落实具体职能机构和人员。建立和完善师德建设督导评估制度，不断加大督导检查力度。支持高校设立师德建设研修基地，搭建教育交流平台，积极探索师德建设的特点和规律，不断提升师德建设科学化水平。</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 xml:space="preserve"> 各地各校要根据实际制订具体的实施办法。</w:t>
      </w:r>
    </w:p>
    <w:p>
      <w:pPr>
        <w:widowControl/>
        <w:spacing w:before="100" w:beforeAutospacing="1" w:after="100" w:afterAutospacing="1" w:line="560" w:lineRule="exact"/>
        <w:jc w:val="left"/>
        <w:rPr>
          <w:rFonts w:hint="eastAsia" w:ascii="仿宋_GB2312" w:hAnsi="微软雅黑" w:eastAsia="仿宋_GB2312" w:cs="宋体"/>
          <w:color w:val="000000" w:themeColor="text1"/>
          <w:kern w:val="0"/>
          <w:sz w:val="32"/>
          <w:szCs w:val="32"/>
        </w:rPr>
      </w:pPr>
    </w:p>
    <w:p>
      <w:pPr>
        <w:widowControl/>
        <w:spacing w:before="100" w:beforeAutospacing="1" w:after="100" w:afterAutospacing="1" w:line="560" w:lineRule="exact"/>
        <w:jc w:val="center"/>
        <w:rPr>
          <w:rFonts w:ascii="仿宋_GB2312" w:hAnsi="微软雅黑" w:eastAsia="仿宋_GB2312" w:cs="宋体"/>
          <w:color w:val="000000" w:themeColor="text1"/>
          <w:kern w:val="0"/>
          <w:sz w:val="32"/>
          <w:szCs w:val="32"/>
        </w:rPr>
      </w:pP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教育部</w:t>
      </w:r>
      <w:r>
        <w:rPr>
          <w:rFonts w:hint="eastAsia" w:ascii="仿宋_GB2312" w:hAnsi="微软雅黑" w:eastAsia="仿宋_GB2312" w:cs="宋体"/>
          <w:color w:val="000000" w:themeColor="text1"/>
          <w:kern w:val="0"/>
          <w:sz w:val="32"/>
          <w:szCs w:val="32"/>
        </w:rPr>
        <w:br w:type="textWrapping"/>
      </w:r>
      <w:r>
        <w:rPr>
          <w:rFonts w:hint="eastAsia" w:ascii="微软雅黑" w:hAnsi="微软雅黑" w:eastAsia="仿宋_GB2312" w:cs="宋体"/>
          <w:color w:val="000000" w:themeColor="text1"/>
          <w:kern w:val="0"/>
          <w:sz w:val="32"/>
          <w:szCs w:val="32"/>
        </w:rPr>
        <w:t>                                                </w:t>
      </w:r>
      <w:r>
        <w:rPr>
          <w:rFonts w:hint="eastAsia" w:ascii="仿宋_GB2312" w:hAnsi="微软雅黑" w:eastAsia="仿宋_GB2312" w:cs="宋体"/>
          <w:color w:val="000000" w:themeColor="text1"/>
          <w:kern w:val="0"/>
          <w:sz w:val="32"/>
          <w:szCs w:val="32"/>
        </w:rPr>
        <w:t>2014年9月29日</w:t>
      </w:r>
    </w:p>
    <w:p>
      <w:pPr>
        <w:widowControl/>
        <w:spacing w:before="100" w:beforeAutospacing="1" w:after="100" w:afterAutospacing="1" w:line="560" w:lineRule="exact"/>
        <w:jc w:val="center"/>
        <w:rPr>
          <w:rFonts w:ascii="仿宋_GB2312" w:hAnsi="微软雅黑" w:eastAsia="仿宋_GB2312" w:cs="宋体"/>
          <w:color w:val="000000" w:themeColor="text1"/>
          <w:kern w:val="0"/>
          <w:sz w:val="32"/>
          <w:szCs w:val="32"/>
        </w:rPr>
      </w:pPr>
    </w:p>
    <w:p>
      <w:pPr>
        <w:widowControl/>
        <w:spacing w:before="100" w:beforeAutospacing="1" w:after="100" w:afterAutospacing="1" w:line="560" w:lineRule="exact"/>
        <w:jc w:val="center"/>
        <w:rPr>
          <w:rFonts w:ascii="仿宋_GB2312" w:hAnsi="微软雅黑" w:eastAsia="仿宋_GB2312" w:cs="宋体"/>
          <w:color w:val="000000" w:themeColor="text1"/>
          <w:kern w:val="0"/>
          <w:sz w:val="32"/>
          <w:szCs w:val="32"/>
        </w:rPr>
      </w:pPr>
    </w:p>
    <w:p>
      <w:pPr>
        <w:widowControl/>
        <w:spacing w:line="560" w:lineRule="exact"/>
        <w:jc w:val="left"/>
        <w:rPr>
          <w:rFonts w:ascii="仿宋_GB2312" w:hAnsi="宋体" w:eastAsia="仿宋_GB2312" w:cs="宋体"/>
          <w:color w:val="000000" w:themeColor="text1"/>
          <w:kern w:val="0"/>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F4353"/>
    <w:rsid w:val="00484049"/>
    <w:rsid w:val="006F4353"/>
    <w:rsid w:val="007C2415"/>
    <w:rsid w:val="0080582A"/>
    <w:rsid w:val="00883117"/>
    <w:rsid w:val="00B92BFD"/>
    <w:rsid w:val="00B95C8F"/>
    <w:rsid w:val="00D1331A"/>
    <w:rsid w:val="00FF3106"/>
    <w:rsid w:val="046F67D5"/>
    <w:rsid w:val="0AC516A1"/>
    <w:rsid w:val="1DF04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wordWrap w:val="0"/>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uiPriority w:val="99"/>
    <w:rPr>
      <w:color w:val="333333"/>
      <w:sz w:val="18"/>
      <w:szCs w:val="18"/>
      <w:u w:val="none"/>
    </w:rPr>
  </w:style>
  <w:style w:type="character" w:customStyle="1" w:styleId="9">
    <w:name w:val="页眉 Char"/>
    <w:basedOn w:val="7"/>
    <w:link w:val="4"/>
    <w:semiHidden/>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578</Words>
  <Characters>3296</Characters>
  <Lines>27</Lines>
  <Paragraphs>7</Paragraphs>
  <TotalTime>2</TotalTime>
  <ScaleCrop>false</ScaleCrop>
  <LinksUpToDate>false</LinksUpToDate>
  <CharactersWithSpaces>3867</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2018-06-08T01:54:00Z</dcterms:created>
  <dc:creator>Administrator</dc:creator>
  <cp:lastModifiedBy>琼夜来香</cp:lastModifiedBy>
  <dcterms:modified xsi:type="dcterms:W3CDTF">2019-11-14T00:20:27Z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